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6" w:rsidRPr="00EA398A" w:rsidRDefault="00714D83" w:rsidP="00FE5246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Т.3.2 и 3.3 </w:t>
      </w:r>
      <w:bookmarkStart w:id="0" w:name="_GoBack"/>
      <w:bookmarkEnd w:id="0"/>
      <w:r w:rsidR="008A3DF4" w:rsidRPr="00EA398A">
        <w:rPr>
          <w:rFonts w:ascii="Verdana" w:hAnsi="Verdana" w:cs="Times New Roman"/>
          <w:b/>
          <w:sz w:val="20"/>
          <w:szCs w:val="20"/>
        </w:rPr>
        <w:t>Предложение на У</w:t>
      </w:r>
      <w:r w:rsidR="00DD7EB0" w:rsidRPr="00EA398A">
        <w:rPr>
          <w:rFonts w:ascii="Verdana" w:hAnsi="Verdana" w:cs="Times New Roman"/>
          <w:b/>
          <w:sz w:val="20"/>
          <w:szCs w:val="20"/>
        </w:rPr>
        <w:t>правляващия орган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на П</w:t>
      </w:r>
      <w:r w:rsidR="00DD7EB0" w:rsidRPr="00EA398A">
        <w:rPr>
          <w:rFonts w:ascii="Verdana" w:hAnsi="Verdana" w:cs="Times New Roman"/>
          <w:b/>
          <w:sz w:val="20"/>
          <w:szCs w:val="20"/>
        </w:rPr>
        <w:t>рограмата за развитие на с</w:t>
      </w:r>
      <w:r w:rsidR="007C0BE3" w:rsidRPr="00EA398A">
        <w:rPr>
          <w:rFonts w:ascii="Verdana" w:hAnsi="Verdana" w:cs="Times New Roman"/>
          <w:b/>
          <w:sz w:val="20"/>
          <w:szCs w:val="20"/>
        </w:rPr>
        <w:t>елските райони 2014-2020 г.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за </w:t>
      </w:r>
      <w:r w:rsidR="00BB10AE" w:rsidRPr="00EA398A">
        <w:rPr>
          <w:rFonts w:ascii="Verdana" w:hAnsi="Verdana" w:cs="Times New Roman"/>
          <w:b/>
          <w:sz w:val="20"/>
          <w:szCs w:val="20"/>
        </w:rPr>
        <w:t>промяна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на текста на</w:t>
      </w:r>
      <w:r w:rsidR="004352A2" w:rsidRPr="00EA398A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BB10AE" w:rsidRPr="00EA398A" w:rsidRDefault="00BB10AE" w:rsidP="00BB10AE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EA398A">
        <w:rPr>
          <w:rFonts w:ascii="Verdana" w:hAnsi="Verdana" w:cs="Times New Roman"/>
          <w:b/>
          <w:sz w:val="20"/>
          <w:szCs w:val="20"/>
        </w:rPr>
        <w:t>мярка</w:t>
      </w:r>
      <w:r w:rsidR="0068346D" w:rsidRPr="0068346D">
        <w:rPr>
          <w:rFonts w:ascii="Verdana" w:hAnsi="Verdana" w:cs="Times New Roman"/>
          <w:b/>
          <w:sz w:val="20"/>
          <w:szCs w:val="20"/>
        </w:rPr>
        <w:t xml:space="preserve"> M16 — Сътрудничество</w:t>
      </w:r>
    </w:p>
    <w:p w:rsidR="003336D4" w:rsidRPr="00EA398A" w:rsidRDefault="003336D4" w:rsidP="00DD751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B77B6E" w:rsidRPr="0024768C" w:rsidRDefault="00B77B6E" w:rsidP="00B77B6E">
      <w:pPr>
        <w:spacing w:line="360" w:lineRule="auto"/>
        <w:ind w:firstLine="708"/>
        <w:jc w:val="both"/>
        <w:rPr>
          <w:rFonts w:ascii="Verdana" w:hAnsi="Verdana" w:cs="Times New Roman"/>
          <w:sz w:val="20"/>
          <w:szCs w:val="20"/>
          <w:lang w:val="en-US"/>
        </w:rPr>
      </w:pPr>
    </w:p>
    <w:p w:rsidR="00B77B6E" w:rsidRPr="0024768C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1. </w:t>
      </w:r>
      <w:r w:rsidRPr="00EA398A">
        <w:rPr>
          <w:rFonts w:ascii="Verdana" w:hAnsi="Verdana" w:cs="Times New Roman"/>
          <w:b/>
          <w:sz w:val="20"/>
          <w:szCs w:val="20"/>
        </w:rPr>
        <w:t>Управляващият орган</w:t>
      </w:r>
      <w:r w:rsidRPr="0024768C">
        <w:rPr>
          <w:rFonts w:ascii="Verdana" w:hAnsi="Verdana" w:cs="Times New Roman"/>
          <w:b/>
          <w:sz w:val="20"/>
          <w:szCs w:val="20"/>
        </w:rPr>
        <w:t xml:space="preserve"> предл</w:t>
      </w:r>
      <w:r>
        <w:rPr>
          <w:rFonts w:ascii="Verdana" w:hAnsi="Verdana" w:cs="Times New Roman"/>
          <w:b/>
          <w:sz w:val="20"/>
          <w:szCs w:val="20"/>
        </w:rPr>
        <w:t>а</w:t>
      </w:r>
      <w:r w:rsidRPr="0024768C">
        <w:rPr>
          <w:rFonts w:ascii="Verdana" w:hAnsi="Verdana" w:cs="Times New Roman"/>
          <w:b/>
          <w:sz w:val="20"/>
          <w:szCs w:val="20"/>
        </w:rPr>
        <w:t>га максималния размер на общите допустими разходи за един проект на една оперативна група</w:t>
      </w:r>
      <w:r w:rsidRPr="005E7FFC">
        <w:rPr>
          <w:rFonts w:ascii="Verdana" w:hAnsi="Verdana" w:cs="Times New Roman"/>
          <w:b/>
          <w:sz w:val="20"/>
          <w:szCs w:val="20"/>
        </w:rPr>
        <w:t xml:space="preserve"> </w:t>
      </w:r>
      <w:r>
        <w:rPr>
          <w:rFonts w:ascii="Verdana" w:hAnsi="Verdana" w:cs="Times New Roman"/>
          <w:b/>
          <w:sz w:val="20"/>
          <w:szCs w:val="20"/>
        </w:rPr>
        <w:t>в рамките на подмярка 16.1</w:t>
      </w:r>
      <w:r w:rsidRPr="0024768C">
        <w:rPr>
          <w:rFonts w:ascii="Verdana" w:hAnsi="Verdana" w:cs="Times New Roman"/>
          <w:b/>
          <w:sz w:val="20"/>
          <w:szCs w:val="20"/>
        </w:rPr>
        <w:t xml:space="preserve"> </w:t>
      </w:r>
      <w:r>
        <w:rPr>
          <w:rFonts w:ascii="Verdana" w:hAnsi="Verdana" w:cs="Times New Roman"/>
          <w:b/>
          <w:sz w:val="20"/>
          <w:szCs w:val="20"/>
          <w:lang w:val="en-US"/>
        </w:rPr>
        <w:t>“</w:t>
      </w:r>
      <w:r w:rsidRPr="0024768C">
        <w:rPr>
          <w:rFonts w:ascii="Verdana" w:hAnsi="Verdana" w:cs="Times New Roman"/>
          <w:b/>
          <w:sz w:val="20"/>
          <w:szCs w:val="20"/>
        </w:rPr>
        <w:t>Подкрепа за сформиране и функциониране на оперативни групи в рамките на ЕПИ</w:t>
      </w:r>
      <w:r>
        <w:rPr>
          <w:rFonts w:ascii="Verdana" w:hAnsi="Verdana" w:cs="Times New Roman"/>
          <w:b/>
          <w:sz w:val="20"/>
          <w:szCs w:val="20"/>
          <w:lang w:val="en-US"/>
        </w:rPr>
        <w:t>”</w:t>
      </w:r>
      <w:r>
        <w:rPr>
          <w:rFonts w:ascii="Verdana" w:hAnsi="Verdana" w:cs="Times New Roman"/>
          <w:b/>
          <w:sz w:val="20"/>
          <w:szCs w:val="20"/>
        </w:rPr>
        <w:t xml:space="preserve"> </w:t>
      </w:r>
      <w:r w:rsidRPr="0024768C">
        <w:rPr>
          <w:rFonts w:ascii="Verdana" w:hAnsi="Verdana" w:cs="Times New Roman"/>
          <w:b/>
          <w:sz w:val="20"/>
          <w:szCs w:val="20"/>
        </w:rPr>
        <w:t xml:space="preserve">да бъде </w:t>
      </w:r>
      <w:r w:rsidR="00B4670D">
        <w:rPr>
          <w:rFonts w:ascii="Verdana" w:hAnsi="Verdana" w:cs="Times New Roman"/>
          <w:b/>
          <w:sz w:val="20"/>
          <w:szCs w:val="20"/>
        </w:rPr>
        <w:t>определен в размер</w:t>
      </w:r>
      <w:r>
        <w:rPr>
          <w:rFonts w:ascii="Verdana" w:hAnsi="Verdana" w:cs="Times New Roman"/>
          <w:b/>
          <w:sz w:val="20"/>
          <w:szCs w:val="20"/>
        </w:rPr>
        <w:t xml:space="preserve"> до</w:t>
      </w:r>
      <w:r w:rsidRPr="0024768C">
        <w:rPr>
          <w:rFonts w:ascii="Verdana" w:hAnsi="Verdana" w:cs="Times New Roman"/>
          <w:b/>
          <w:sz w:val="20"/>
          <w:szCs w:val="20"/>
        </w:rPr>
        <w:t xml:space="preserve"> 450 000 евро, поради следните мотиви:</w:t>
      </w:r>
    </w:p>
    <w:p w:rsidR="00B77B6E" w:rsidRPr="00D214C2" w:rsidRDefault="00D214C2" w:rsidP="00B77B6E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D214C2">
        <w:rPr>
          <w:rFonts w:ascii="Verdana" w:hAnsi="Verdana" w:cs="Times New Roman"/>
          <w:sz w:val="20"/>
          <w:szCs w:val="20"/>
        </w:rPr>
        <w:t>Относително</w:t>
      </w:r>
      <w:r w:rsidR="00B77B6E" w:rsidRPr="00D214C2">
        <w:rPr>
          <w:rFonts w:ascii="Verdana" w:hAnsi="Verdana" w:cs="Times New Roman"/>
          <w:sz w:val="20"/>
          <w:szCs w:val="20"/>
        </w:rPr>
        <w:t xml:space="preserve"> висок таван на разходите</w:t>
      </w:r>
      <w:r w:rsidRPr="00D214C2">
        <w:rPr>
          <w:rFonts w:ascii="Verdana" w:hAnsi="Verdana" w:cs="Times New Roman"/>
          <w:sz w:val="20"/>
          <w:szCs w:val="20"/>
        </w:rPr>
        <w:t xml:space="preserve"> спрямо други страни - членки</w:t>
      </w:r>
      <w:r w:rsidR="00B77B6E" w:rsidRPr="00D214C2">
        <w:rPr>
          <w:rFonts w:ascii="Verdana" w:hAnsi="Verdana" w:cs="Times New Roman"/>
          <w:sz w:val="20"/>
          <w:szCs w:val="20"/>
        </w:rPr>
        <w:t>;</w:t>
      </w:r>
    </w:p>
    <w:p w:rsidR="00B77B6E" w:rsidRPr="00D214C2" w:rsidRDefault="00B77B6E" w:rsidP="00B77B6E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D214C2">
        <w:rPr>
          <w:rFonts w:ascii="Verdana" w:hAnsi="Verdana" w:cs="Times New Roman"/>
          <w:sz w:val="20"/>
          <w:szCs w:val="20"/>
        </w:rPr>
        <w:t>Относително нисък индикатор за брой, подпомогнати оперативни групи;</w:t>
      </w:r>
    </w:p>
    <w:p w:rsidR="00B77B6E" w:rsidRPr="00B330A9" w:rsidRDefault="00B4670D" w:rsidP="00B77B6E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К</w:t>
      </w:r>
      <w:r w:rsidR="00B77B6E" w:rsidRPr="00B330A9">
        <w:rPr>
          <w:rFonts w:ascii="Verdana" w:hAnsi="Verdana" w:cs="Times New Roman"/>
          <w:sz w:val="20"/>
          <w:szCs w:val="20"/>
        </w:rPr>
        <w:t>раен срок за разплащане на средствата от ЕЗФРСР (2023 г.);</w:t>
      </w:r>
    </w:p>
    <w:p w:rsidR="00B77B6E" w:rsidRPr="00B330A9" w:rsidRDefault="00B77B6E" w:rsidP="00B77B6E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B330A9">
        <w:rPr>
          <w:rFonts w:ascii="Verdana" w:hAnsi="Verdana" w:cs="Times New Roman"/>
          <w:sz w:val="20"/>
          <w:szCs w:val="20"/>
        </w:rPr>
        <w:t>Възможност за подпомагане на по-голям брой проекти, допринасящи за въвеждане на иновативни решения в практиката.</w:t>
      </w:r>
    </w:p>
    <w:p w:rsidR="00B77B6E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</w:p>
    <w:p w:rsidR="00B77B6E" w:rsidRPr="0024768C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 w:rsidRPr="0024768C">
        <w:rPr>
          <w:rFonts w:ascii="Verdana" w:hAnsi="Verdana" w:cs="Times New Roman"/>
          <w:sz w:val="20"/>
          <w:szCs w:val="20"/>
        </w:rPr>
        <w:t xml:space="preserve">Съгласно данни на </w:t>
      </w:r>
      <w:r>
        <w:rPr>
          <w:rFonts w:ascii="Verdana" w:hAnsi="Verdana" w:cs="Times New Roman"/>
          <w:sz w:val="20"/>
          <w:szCs w:val="20"/>
        </w:rPr>
        <w:t>ЕК</w:t>
      </w:r>
      <w:r w:rsidRPr="0024768C">
        <w:rPr>
          <w:rFonts w:ascii="Verdana" w:hAnsi="Verdana" w:cs="Times New Roman"/>
          <w:sz w:val="20"/>
          <w:szCs w:val="20"/>
        </w:rPr>
        <w:t xml:space="preserve"> в общо 106 от всички програми за развитие на селските райони</w:t>
      </w:r>
      <w:r>
        <w:rPr>
          <w:rFonts w:ascii="Verdana" w:hAnsi="Verdana" w:cs="Times New Roman"/>
          <w:sz w:val="20"/>
          <w:szCs w:val="20"/>
        </w:rPr>
        <w:t>, прилагани в страните в ЕС,</w:t>
      </w:r>
      <w:r w:rsidRPr="0024768C">
        <w:rPr>
          <w:rFonts w:ascii="Verdana" w:hAnsi="Verdana" w:cs="Times New Roman"/>
          <w:sz w:val="20"/>
          <w:szCs w:val="20"/>
        </w:rPr>
        <w:t xml:space="preserve"> е предвиден</w:t>
      </w:r>
      <w:r>
        <w:rPr>
          <w:rFonts w:ascii="Verdana" w:hAnsi="Verdana" w:cs="Times New Roman"/>
          <w:sz w:val="20"/>
          <w:szCs w:val="20"/>
        </w:rPr>
        <w:t xml:space="preserve">а </w:t>
      </w:r>
      <w:r w:rsidRPr="0024768C">
        <w:rPr>
          <w:rFonts w:ascii="Verdana" w:hAnsi="Verdana" w:cs="Times New Roman"/>
          <w:sz w:val="20"/>
          <w:szCs w:val="20"/>
        </w:rPr>
        <w:t xml:space="preserve">мярка 16 „Сътрудничество“. Средният размер на </w:t>
      </w:r>
      <w:r>
        <w:rPr>
          <w:rFonts w:ascii="Verdana" w:hAnsi="Verdana" w:cs="Times New Roman"/>
          <w:sz w:val="20"/>
          <w:szCs w:val="20"/>
        </w:rPr>
        <w:t>публичните разходи</w:t>
      </w:r>
      <w:r w:rsidRPr="0024768C">
        <w:rPr>
          <w:rFonts w:ascii="Verdana" w:hAnsi="Verdana" w:cs="Times New Roman"/>
          <w:sz w:val="20"/>
          <w:szCs w:val="20"/>
        </w:rPr>
        <w:t xml:space="preserve">, разпределени </w:t>
      </w:r>
      <w:r>
        <w:rPr>
          <w:rFonts w:ascii="Verdana" w:hAnsi="Verdana" w:cs="Times New Roman"/>
          <w:sz w:val="20"/>
          <w:szCs w:val="20"/>
        </w:rPr>
        <w:t>за</w:t>
      </w:r>
      <w:r w:rsidRPr="0024768C">
        <w:rPr>
          <w:rFonts w:ascii="Verdana" w:hAnsi="Verdana" w:cs="Times New Roman"/>
          <w:sz w:val="20"/>
          <w:szCs w:val="20"/>
        </w:rPr>
        <w:t xml:space="preserve"> мярка 16 „Сътрудничество“ за всички страни членки, избрали да прилагат мярката възлиза на 1.8 % от общия бюджет на</w:t>
      </w:r>
      <w:r>
        <w:rPr>
          <w:rFonts w:ascii="Verdana" w:hAnsi="Verdana" w:cs="Times New Roman"/>
          <w:sz w:val="20"/>
          <w:szCs w:val="20"/>
        </w:rPr>
        <w:t xml:space="preserve"> съответната програма/програми. Общият размер на предвидените средства за мярка 16, възлизат на </w:t>
      </w:r>
      <w:r w:rsidRPr="0024768C">
        <w:rPr>
          <w:rFonts w:ascii="Verdana" w:hAnsi="Verdana" w:cs="Times New Roman"/>
          <w:sz w:val="20"/>
          <w:szCs w:val="20"/>
        </w:rPr>
        <w:t>2.8 млрд. евро</w:t>
      </w:r>
      <w:r>
        <w:rPr>
          <w:rFonts w:ascii="Verdana" w:hAnsi="Verdana" w:cs="Times New Roman"/>
          <w:sz w:val="20"/>
          <w:szCs w:val="20"/>
        </w:rPr>
        <w:t xml:space="preserve"> публични разходи.</w:t>
      </w:r>
      <w:r w:rsidRPr="0024768C">
        <w:rPr>
          <w:rFonts w:ascii="Verdana" w:hAnsi="Verdana" w:cs="Times New Roman"/>
          <w:sz w:val="20"/>
          <w:szCs w:val="20"/>
        </w:rPr>
        <w:t xml:space="preserve"> </w:t>
      </w:r>
    </w:p>
    <w:p w:rsidR="00B77B6E" w:rsidRPr="0024768C" w:rsidRDefault="00B77B6E" w:rsidP="00B77B6E">
      <w:pPr>
        <w:spacing w:after="0"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 w:rsidRPr="0024768C">
        <w:rPr>
          <w:rFonts w:ascii="Verdana" w:hAnsi="Verdana" w:cs="Times New Roman"/>
          <w:sz w:val="20"/>
          <w:szCs w:val="20"/>
        </w:rPr>
        <w:t>Финансовият ресурс, предвиден за финансиране на проекти, представени от опе</w:t>
      </w:r>
      <w:r>
        <w:rPr>
          <w:rFonts w:ascii="Verdana" w:hAnsi="Verdana" w:cs="Times New Roman"/>
          <w:sz w:val="20"/>
          <w:szCs w:val="20"/>
        </w:rPr>
        <w:t xml:space="preserve">ративни групи, по подмярка 16.1 </w:t>
      </w:r>
      <w:r w:rsidRPr="0024768C">
        <w:rPr>
          <w:rFonts w:ascii="Verdana" w:hAnsi="Verdana" w:cs="Times New Roman"/>
          <w:sz w:val="20"/>
          <w:szCs w:val="20"/>
        </w:rPr>
        <w:t>„Помощ за сформиране и функцион</w:t>
      </w:r>
      <w:r>
        <w:rPr>
          <w:rFonts w:ascii="Verdana" w:hAnsi="Verdana" w:cs="Times New Roman"/>
          <w:sz w:val="20"/>
          <w:szCs w:val="20"/>
        </w:rPr>
        <w:t xml:space="preserve">ира не оперативни групи по ЕПИ“, като част от мярка 16, </w:t>
      </w:r>
      <w:r w:rsidRPr="0024768C">
        <w:rPr>
          <w:rFonts w:ascii="Verdana" w:hAnsi="Verdana" w:cs="Times New Roman"/>
          <w:sz w:val="20"/>
          <w:szCs w:val="20"/>
        </w:rPr>
        <w:t>възлиза на 587 млн. евро. Подмярка</w:t>
      </w:r>
      <w:r>
        <w:rPr>
          <w:rFonts w:ascii="Verdana" w:hAnsi="Verdana" w:cs="Times New Roman"/>
          <w:sz w:val="20"/>
          <w:szCs w:val="20"/>
        </w:rPr>
        <w:t>та</w:t>
      </w:r>
      <w:r w:rsidRPr="0024768C">
        <w:rPr>
          <w:rFonts w:ascii="Verdana" w:hAnsi="Verdana" w:cs="Times New Roman"/>
          <w:sz w:val="20"/>
          <w:szCs w:val="20"/>
        </w:rPr>
        <w:t xml:space="preserve"> е </w:t>
      </w:r>
      <w:r>
        <w:rPr>
          <w:rFonts w:ascii="Verdana" w:hAnsi="Verdana" w:cs="Times New Roman"/>
          <w:sz w:val="20"/>
          <w:szCs w:val="20"/>
        </w:rPr>
        <w:t>включена</w:t>
      </w:r>
      <w:r w:rsidRPr="0024768C">
        <w:rPr>
          <w:rFonts w:ascii="Verdana" w:hAnsi="Verdana" w:cs="Times New Roman"/>
          <w:sz w:val="20"/>
          <w:szCs w:val="20"/>
        </w:rPr>
        <w:t xml:space="preserve"> в </w:t>
      </w:r>
      <w:r>
        <w:rPr>
          <w:rFonts w:ascii="Verdana" w:hAnsi="Verdana" w:cs="Times New Roman"/>
          <w:sz w:val="20"/>
          <w:szCs w:val="20"/>
        </w:rPr>
        <w:t xml:space="preserve">общо </w:t>
      </w:r>
      <w:r w:rsidRPr="0024768C">
        <w:rPr>
          <w:rFonts w:ascii="Verdana" w:hAnsi="Verdana" w:cs="Times New Roman"/>
          <w:sz w:val="20"/>
          <w:szCs w:val="20"/>
        </w:rPr>
        <w:t xml:space="preserve">96 програми за развитие на селските райони на 26 страни членки (с изключение на Латвия и Естония). </w:t>
      </w:r>
    </w:p>
    <w:p w:rsidR="00B77B6E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Данните</w:t>
      </w:r>
      <w:r w:rsidRPr="0024768C">
        <w:rPr>
          <w:rFonts w:ascii="Verdana" w:hAnsi="Verdana" w:cs="Times New Roman"/>
          <w:sz w:val="20"/>
          <w:szCs w:val="20"/>
        </w:rPr>
        <w:t xml:space="preserve"> на ЕК показват</w:t>
      </w:r>
      <w:r>
        <w:rPr>
          <w:rFonts w:ascii="Verdana" w:hAnsi="Verdana" w:cs="Times New Roman"/>
          <w:sz w:val="20"/>
          <w:szCs w:val="20"/>
        </w:rPr>
        <w:t xml:space="preserve"> също така</w:t>
      </w:r>
      <w:r w:rsidRPr="0024768C">
        <w:rPr>
          <w:rFonts w:ascii="Verdana" w:hAnsi="Verdana" w:cs="Times New Roman"/>
          <w:sz w:val="20"/>
          <w:szCs w:val="20"/>
        </w:rPr>
        <w:t xml:space="preserve">, че средния размер на допустимите за финансово подпомагане разходи </w:t>
      </w:r>
      <w:r w:rsidRPr="00494466">
        <w:rPr>
          <w:rFonts w:ascii="Verdana" w:hAnsi="Verdana" w:cs="Times New Roman"/>
          <w:sz w:val="20"/>
          <w:szCs w:val="20"/>
        </w:rPr>
        <w:t>на проект по мярка 16 „Сътрудничество“ (включваща подмерки 16.1, 16.2, 16.3 и 16.4) възлиза на 183 000 евро</w:t>
      </w:r>
      <w:r>
        <w:rPr>
          <w:rFonts w:ascii="Verdana" w:hAnsi="Verdana" w:cs="Times New Roman"/>
          <w:sz w:val="20"/>
          <w:szCs w:val="20"/>
        </w:rPr>
        <w:t>.</w:t>
      </w:r>
    </w:p>
    <w:p w:rsidR="00B77B6E" w:rsidRPr="009C2425" w:rsidRDefault="005A57E4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hyperlink r:id="rId9" w:history="1">
        <w:r w:rsidR="00B77B6E" w:rsidRPr="00BB20B4">
          <w:rPr>
            <w:rStyle w:val="Hyperlink"/>
            <w:rFonts w:ascii="Verdana" w:hAnsi="Verdana"/>
            <w:i/>
            <w:sz w:val="20"/>
          </w:rPr>
          <w:t>https://enrd.ec.europa.eu/sites/enrd/files/nrn4_m16-cooperation_karjalainen.pdf</w:t>
        </w:r>
      </w:hyperlink>
      <w:r w:rsidR="00B77B6E">
        <w:rPr>
          <w:rFonts w:ascii="Verdana" w:hAnsi="Verdana" w:cs="Times New Roman"/>
          <w:sz w:val="20"/>
          <w:szCs w:val="20"/>
        </w:rPr>
        <w:t xml:space="preserve"> </w:t>
      </w:r>
    </w:p>
    <w:p w:rsidR="00B77B6E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 w:rsidRPr="00BB20B4">
        <w:rPr>
          <w:rFonts w:ascii="Verdana" w:hAnsi="Verdana" w:cs="Times New Roman"/>
          <w:sz w:val="20"/>
          <w:szCs w:val="20"/>
        </w:rPr>
        <w:t xml:space="preserve">Максималният размер на допустимите разходи по подмярка 16.1 </w:t>
      </w:r>
      <w:r>
        <w:rPr>
          <w:rFonts w:ascii="Verdana" w:hAnsi="Verdana" w:cs="Times New Roman"/>
          <w:sz w:val="20"/>
          <w:szCs w:val="20"/>
        </w:rPr>
        <w:t>„</w:t>
      </w:r>
      <w:r w:rsidRPr="00BB20B4">
        <w:rPr>
          <w:rFonts w:ascii="Verdana" w:hAnsi="Verdana" w:cs="Times New Roman"/>
          <w:sz w:val="20"/>
          <w:szCs w:val="20"/>
        </w:rPr>
        <w:t>Подкрепа за сформиране и функциониране на оперативни групи в рамките на ЕПИ</w:t>
      </w:r>
      <w:r>
        <w:rPr>
          <w:rFonts w:ascii="Verdana" w:hAnsi="Verdana" w:cs="Times New Roman"/>
          <w:sz w:val="20"/>
          <w:szCs w:val="20"/>
        </w:rPr>
        <w:t xml:space="preserve">“ </w:t>
      </w:r>
      <w:r w:rsidRPr="00494466">
        <w:rPr>
          <w:rFonts w:ascii="Verdana" w:hAnsi="Verdana" w:cs="Times New Roman"/>
          <w:sz w:val="20"/>
          <w:szCs w:val="20"/>
        </w:rPr>
        <w:t>за един проект на една оперативна група, определен от отделните държави членки варира най - често в порядъка между 15 000 и 1 млн. евро</w:t>
      </w:r>
      <w:r>
        <w:rPr>
          <w:rFonts w:ascii="Verdana" w:hAnsi="Verdana" w:cs="Times New Roman"/>
          <w:sz w:val="20"/>
          <w:szCs w:val="20"/>
        </w:rPr>
        <w:t>.</w:t>
      </w:r>
    </w:p>
    <w:p w:rsidR="00B77B6E" w:rsidRPr="00B330A9" w:rsidRDefault="005A57E4" w:rsidP="00B77B6E">
      <w:pPr>
        <w:spacing w:line="360" w:lineRule="auto"/>
        <w:contextualSpacing/>
        <w:jc w:val="both"/>
        <w:rPr>
          <w:rFonts w:ascii="Verdana" w:hAnsi="Verdana" w:cs="Times New Roman"/>
          <w:i/>
          <w:sz w:val="20"/>
          <w:szCs w:val="20"/>
        </w:rPr>
      </w:pPr>
      <w:hyperlink r:id="rId10" w:history="1">
        <w:r w:rsidR="00B77B6E" w:rsidRPr="00B330A9">
          <w:rPr>
            <w:rStyle w:val="Hyperlink"/>
            <w:rFonts w:ascii="Verdana" w:hAnsi="Verdana"/>
            <w:i/>
            <w:sz w:val="20"/>
          </w:rPr>
          <w:t>https://enrd.ec.europa.eu/sites/enrd/files/rdp_analysis_m16-1.pdf</w:t>
        </w:r>
      </w:hyperlink>
      <w:r w:rsidR="00B77B6E" w:rsidRPr="00B330A9">
        <w:rPr>
          <w:rFonts w:ascii="Verdana" w:hAnsi="Verdana" w:cs="Times New Roman"/>
          <w:i/>
          <w:sz w:val="20"/>
          <w:szCs w:val="20"/>
        </w:rPr>
        <w:t xml:space="preserve"> </w:t>
      </w:r>
    </w:p>
    <w:p w:rsidR="00B77B6E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 w:rsidRPr="00494466">
        <w:rPr>
          <w:rFonts w:ascii="Verdana" w:hAnsi="Verdana" w:cs="Times New Roman"/>
          <w:sz w:val="20"/>
          <w:szCs w:val="20"/>
        </w:rPr>
        <w:t>В ПРСР 2014-2020 г. за мярка 16 „Сътрудничество“ са предвидени средства в размер на общо 32 573 723 евро публични разходи,</w:t>
      </w:r>
      <w:r>
        <w:rPr>
          <w:rFonts w:ascii="Verdana" w:hAnsi="Verdana" w:cs="Times New Roman"/>
          <w:sz w:val="20"/>
          <w:szCs w:val="20"/>
        </w:rPr>
        <w:t xml:space="preserve"> от които 29 316 351 евро осигурени от ЕЗФРСР и 3 257 372 евро национални средства,</w:t>
      </w:r>
      <w:r w:rsidRPr="00494466">
        <w:rPr>
          <w:rFonts w:ascii="Verdana" w:hAnsi="Verdana" w:cs="Times New Roman"/>
          <w:sz w:val="20"/>
          <w:szCs w:val="20"/>
        </w:rPr>
        <w:t xml:space="preserve"> представляващи 1.1 % от бюджета на Програмата. </w:t>
      </w:r>
    </w:p>
    <w:p w:rsidR="00B77B6E" w:rsidRPr="00494466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Съгласно разпределението на финансовите средства по мерки и фокус области, р</w:t>
      </w:r>
      <w:r w:rsidRPr="00494466">
        <w:rPr>
          <w:rFonts w:ascii="Verdana" w:hAnsi="Verdana" w:cs="Times New Roman"/>
          <w:sz w:val="20"/>
          <w:szCs w:val="20"/>
        </w:rPr>
        <w:t xml:space="preserve">азмерът на финансовите средства, които могат да бъдат използвани  по подмярка 16.1 от бюджета на мярка 16, възлизат на </w:t>
      </w:r>
      <w:r w:rsidR="00B4670D">
        <w:rPr>
          <w:rFonts w:ascii="Verdana" w:hAnsi="Verdana" w:cs="Times New Roman"/>
          <w:sz w:val="20"/>
          <w:szCs w:val="20"/>
        </w:rPr>
        <w:t>малко над 20</w:t>
      </w:r>
      <w:r w:rsidRPr="00494466">
        <w:rPr>
          <w:rFonts w:ascii="Verdana" w:hAnsi="Verdana" w:cs="Times New Roman"/>
          <w:sz w:val="20"/>
          <w:szCs w:val="20"/>
        </w:rPr>
        <w:t> </w:t>
      </w:r>
      <w:r w:rsidR="001B2B0B">
        <w:rPr>
          <w:rFonts w:ascii="Verdana" w:hAnsi="Verdana" w:cs="Times New Roman"/>
          <w:sz w:val="20"/>
          <w:szCs w:val="20"/>
        </w:rPr>
        <w:t xml:space="preserve">млн. </w:t>
      </w:r>
      <w:r w:rsidRPr="00494466">
        <w:rPr>
          <w:rFonts w:ascii="Verdana" w:hAnsi="Verdana" w:cs="Times New Roman"/>
          <w:sz w:val="20"/>
          <w:szCs w:val="20"/>
        </w:rPr>
        <w:t xml:space="preserve">евро. Общо 20 е броят на оперативни групи, които са предвидени да получат финансиране по подмярка 16.1 в рамките на ПРСР 2014-2020 г. </w:t>
      </w:r>
      <w:r>
        <w:rPr>
          <w:rFonts w:ascii="Verdana" w:hAnsi="Verdana" w:cs="Times New Roman"/>
          <w:sz w:val="20"/>
          <w:szCs w:val="20"/>
        </w:rPr>
        <w:t>съгласно индикаторния план на Програмата.</w:t>
      </w:r>
    </w:p>
    <w:p w:rsidR="00B77B6E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За сравнение, средния</w:t>
      </w:r>
      <w:r w:rsidRPr="0024768C">
        <w:rPr>
          <w:rFonts w:ascii="Verdana" w:hAnsi="Verdana" w:cs="Times New Roman"/>
          <w:sz w:val="20"/>
          <w:szCs w:val="20"/>
        </w:rPr>
        <w:t xml:space="preserve"> брой на оперативни групи, предвидени за подпомагане по подмярка 16.1 въз</w:t>
      </w:r>
      <w:r>
        <w:rPr>
          <w:rFonts w:ascii="Verdana" w:hAnsi="Verdana" w:cs="Times New Roman"/>
          <w:sz w:val="20"/>
          <w:szCs w:val="20"/>
        </w:rPr>
        <w:t>лиза на 133 оперативни групи/</w:t>
      </w:r>
      <w:r w:rsidRPr="0024768C">
        <w:rPr>
          <w:rFonts w:ascii="Verdana" w:hAnsi="Verdana" w:cs="Times New Roman"/>
          <w:sz w:val="20"/>
          <w:szCs w:val="20"/>
        </w:rPr>
        <w:t xml:space="preserve">страна. </w:t>
      </w:r>
      <w:r>
        <w:rPr>
          <w:rFonts w:ascii="Verdana" w:hAnsi="Verdana" w:cs="Times New Roman"/>
          <w:sz w:val="20"/>
          <w:szCs w:val="20"/>
        </w:rPr>
        <w:t>С</w:t>
      </w:r>
      <w:r w:rsidRPr="0024768C">
        <w:rPr>
          <w:rFonts w:ascii="Verdana" w:hAnsi="Verdana" w:cs="Times New Roman"/>
          <w:sz w:val="20"/>
          <w:szCs w:val="20"/>
        </w:rPr>
        <w:t xml:space="preserve">трани като Хърватска и Австрия са предвидили да подпомогнат </w:t>
      </w:r>
      <w:r>
        <w:rPr>
          <w:rFonts w:ascii="Verdana" w:hAnsi="Verdana" w:cs="Times New Roman"/>
          <w:sz w:val="20"/>
          <w:szCs w:val="20"/>
        </w:rPr>
        <w:t xml:space="preserve">съответно 33 и 50 оперативни групи. </w:t>
      </w:r>
    </w:p>
    <w:p w:rsidR="00B77B6E" w:rsidRPr="0024768C" w:rsidRDefault="00B77B6E" w:rsidP="00B77B6E">
      <w:pPr>
        <w:spacing w:line="360" w:lineRule="auto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В заключение, намаляването на </w:t>
      </w:r>
      <w:r w:rsidRPr="00D214C2">
        <w:rPr>
          <w:rFonts w:ascii="Verdana" w:hAnsi="Verdana" w:cs="Times New Roman"/>
          <w:sz w:val="20"/>
          <w:szCs w:val="20"/>
        </w:rPr>
        <w:t xml:space="preserve">максималния размер на допустимите разходи за един проект на една оперативна група от 1 млн. евро на 450 000 евро ще </w:t>
      </w:r>
      <w:r>
        <w:rPr>
          <w:rFonts w:ascii="Verdana" w:hAnsi="Verdana" w:cs="Times New Roman"/>
          <w:sz w:val="20"/>
          <w:szCs w:val="20"/>
        </w:rPr>
        <w:t>предостави възможност по-голям брой оперативни групи да се възползват от подпомагане за реализация на иновативни проекти, резултатите от които да бъдат разпространени сред всички страни членки, чрез мрежите на ЕПИ.</w:t>
      </w:r>
    </w:p>
    <w:p w:rsidR="00666E06" w:rsidRPr="00475F00" w:rsidRDefault="00666E06" w:rsidP="00B77B6E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EA398A">
        <w:rPr>
          <w:rFonts w:ascii="Verdana" w:hAnsi="Verdana" w:cs="Times New Roman"/>
          <w:b/>
          <w:sz w:val="20"/>
          <w:szCs w:val="20"/>
        </w:rPr>
        <w:t xml:space="preserve">Управляващият орган предлага актуализиране на опростените разходи по подмярка </w:t>
      </w:r>
      <w:r w:rsidR="004D69B9" w:rsidRPr="004D69B9">
        <w:rPr>
          <w:rFonts w:ascii="Verdana" w:hAnsi="Verdana" w:cs="Times New Roman"/>
          <w:b/>
          <w:sz w:val="20"/>
          <w:szCs w:val="20"/>
        </w:rPr>
        <w:t>16.1. „Подкрепа за сформиране и функциониране на оперативни групи в рамките на ЕПИ“</w:t>
      </w:r>
      <w:r w:rsidR="003E42A0">
        <w:rPr>
          <w:rFonts w:ascii="Verdana" w:hAnsi="Verdana" w:cs="Times New Roman"/>
          <w:b/>
          <w:sz w:val="20"/>
          <w:szCs w:val="20"/>
        </w:rPr>
        <w:t xml:space="preserve"> и п</w:t>
      </w:r>
      <w:r w:rsidR="003E42A0" w:rsidRPr="003E42A0">
        <w:rPr>
          <w:rFonts w:ascii="Verdana" w:hAnsi="Verdana" w:cs="Times New Roman"/>
          <w:b/>
          <w:sz w:val="20"/>
          <w:szCs w:val="20"/>
        </w:rPr>
        <w:t xml:space="preserve">одмярка 16.4. </w:t>
      </w:r>
      <w:r w:rsidR="0036795E">
        <w:rPr>
          <w:rFonts w:ascii="Verdana" w:hAnsi="Verdana" w:cs="Times New Roman"/>
          <w:b/>
          <w:sz w:val="20"/>
          <w:szCs w:val="20"/>
        </w:rPr>
        <w:t>„</w:t>
      </w:r>
      <w:r w:rsidR="003E42A0" w:rsidRPr="003E42A0">
        <w:rPr>
          <w:rFonts w:ascii="Verdana" w:hAnsi="Verdana" w:cs="Times New Roman"/>
          <w:b/>
          <w:sz w:val="20"/>
          <w:szCs w:val="20"/>
        </w:rPr>
        <w:t>Подкрепа за хоризонтално и вертикално сътрудничество между участниците във веригата на доставки</w:t>
      </w:r>
      <w:r w:rsidR="0036795E">
        <w:rPr>
          <w:rFonts w:ascii="Verdana" w:hAnsi="Verdana" w:cs="Times New Roman"/>
          <w:b/>
          <w:sz w:val="20"/>
          <w:szCs w:val="20"/>
        </w:rPr>
        <w:t>“</w:t>
      </w:r>
      <w:r w:rsidR="003E42A0" w:rsidRPr="003E42A0">
        <w:rPr>
          <w:rFonts w:ascii="Verdana" w:hAnsi="Verdana" w:cs="Times New Roman"/>
          <w:b/>
          <w:sz w:val="20"/>
          <w:szCs w:val="20"/>
        </w:rPr>
        <w:t>.</w:t>
      </w:r>
    </w:p>
    <w:p w:rsidR="00475F00" w:rsidRPr="00475F00" w:rsidRDefault="00475F00" w:rsidP="00475F00">
      <w:pPr>
        <w:pStyle w:val="ListParagraph"/>
        <w:spacing w:after="0" w:line="360" w:lineRule="auto"/>
        <w:ind w:left="0" w:firstLine="708"/>
        <w:jc w:val="both"/>
        <w:rPr>
          <w:rFonts w:ascii="Verdana" w:hAnsi="Verdana" w:cs="Times New Roman"/>
          <w:sz w:val="20"/>
          <w:szCs w:val="20"/>
        </w:rPr>
      </w:pPr>
      <w:r w:rsidRPr="00475F00">
        <w:rPr>
          <w:rFonts w:ascii="Verdana" w:hAnsi="Verdana" w:cs="Times New Roman"/>
          <w:sz w:val="20"/>
          <w:szCs w:val="20"/>
        </w:rPr>
        <w:t>Изготвянето и актуализацията на опростените разходи е извършена от екип на Университета за национално и световно стопанство – гр. София по силата на сключен договор. Дейността по изготвяне на опростените разходи е документирана от страна на изпълнителя  в съответствие с т. 5.2.1.3 от Указанията на Европейската комисия за ОВР, като е използван подход определен съгласно чл. 67, параграф 5, буква „а“ от Регламент 1303/2013 за определяне на размера на опростения вариант на разходите, отговарящи на изискванията за коректен, справедлив и проверим метод на изчисление.</w:t>
      </w:r>
    </w:p>
    <w:p w:rsidR="001464C8" w:rsidRDefault="001464C8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Pr="00EA398A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  <w:sectPr w:rsidR="00475F00" w:rsidRPr="00EA398A" w:rsidSect="00DA5B13">
          <w:footerReference w:type="default" r:id="rId11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9"/>
        <w:gridCol w:w="5840"/>
        <w:gridCol w:w="7370"/>
      </w:tblGrid>
      <w:tr w:rsidR="001464C8" w:rsidRPr="00EA398A" w:rsidTr="00BD3F73">
        <w:tc>
          <w:tcPr>
            <w:tcW w:w="135" w:type="pct"/>
            <w:shd w:val="clear" w:color="auto" w:fill="D9D9D9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667" w:type="pct"/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 в която се прави предложение за промяна</w:t>
            </w:r>
          </w:p>
        </w:tc>
        <w:tc>
          <w:tcPr>
            <w:tcW w:w="1856" w:type="pct"/>
            <w:shd w:val="clear" w:color="auto" w:fill="D9D9D9"/>
            <w:vAlign w:val="center"/>
          </w:tcPr>
          <w:p w:rsidR="001464C8" w:rsidRPr="00EA398A" w:rsidRDefault="001464C8" w:rsidP="004D69B9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Настоящ текст</w:t>
            </w:r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на подмярка </w:t>
            </w:r>
            <w:r w:rsidR="004D69B9">
              <w:rPr>
                <w:rFonts w:ascii="Verdana" w:hAnsi="Verdana" w:cs="Times New Roman"/>
                <w:b/>
                <w:bCs/>
                <w:sz w:val="16"/>
                <w:szCs w:val="16"/>
              </w:rPr>
              <w:t>16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ПРСР</w:t>
            </w:r>
          </w:p>
        </w:tc>
        <w:tc>
          <w:tcPr>
            <w:tcW w:w="2342" w:type="pct"/>
            <w:shd w:val="clear" w:color="auto" w:fill="D9D9D9"/>
            <w:vAlign w:val="center"/>
          </w:tcPr>
          <w:p w:rsidR="001464C8" w:rsidRPr="00EA398A" w:rsidRDefault="001464C8" w:rsidP="004D69B9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7248A">
              <w:rPr>
                <w:rFonts w:ascii="Verdana" w:hAnsi="Verdana" w:cs="Times New Roman"/>
                <w:b/>
                <w:bCs/>
                <w:sz w:val="16"/>
                <w:szCs w:val="16"/>
              </w:rPr>
              <w:t>Предложение за нов текст</w:t>
            </w:r>
            <w:r w:rsidR="008210F0" w:rsidRPr="00E724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подмярка</w:t>
            </w:r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1</w:t>
            </w:r>
            <w:r w:rsidR="004D69B9">
              <w:rPr>
                <w:rFonts w:ascii="Verdana" w:hAnsi="Verdana" w:cs="Times New Roman"/>
                <w:b/>
                <w:bCs/>
                <w:sz w:val="16"/>
                <w:szCs w:val="16"/>
              </w:rPr>
              <w:t>6</w:t>
            </w:r>
            <w:r w:rsidR="008210F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от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ПРСР</w:t>
            </w:r>
          </w:p>
        </w:tc>
      </w:tr>
      <w:tr w:rsidR="001464C8" w:rsidRPr="00EA398A" w:rsidTr="00BD3F73">
        <w:trPr>
          <w:trHeight w:val="589"/>
        </w:trPr>
        <w:tc>
          <w:tcPr>
            <w:tcW w:w="1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>Мярка 1</w:t>
            </w:r>
            <w:r w:rsidR="004D69B9">
              <w:rPr>
                <w:rFonts w:ascii="Verdana" w:hAnsi="Verdana" w:cs="Times New Roman"/>
                <w:b/>
                <w:sz w:val="16"/>
                <w:szCs w:val="16"/>
              </w:rPr>
              <w:t>6</w:t>
            </w:r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 xml:space="preserve"> „</w:t>
            </w:r>
            <w:r w:rsidR="004D69B9">
              <w:rPr>
                <w:rFonts w:ascii="Verdana" w:hAnsi="Verdana" w:cs="Times New Roman"/>
                <w:b/>
                <w:sz w:val="16"/>
                <w:szCs w:val="16"/>
              </w:rPr>
              <w:t>Съгрудничество</w:t>
            </w:r>
            <w:r w:rsidRPr="00EA398A">
              <w:rPr>
                <w:rFonts w:ascii="Verdana" w:hAnsi="Verdana" w:cs="Times New Roman"/>
                <w:b/>
                <w:sz w:val="16"/>
                <w:szCs w:val="16"/>
              </w:rPr>
              <w:t>“,</w:t>
            </w:r>
          </w:p>
          <w:p w:rsidR="001464C8" w:rsidRPr="00EA398A" w:rsidRDefault="004D69B9" w:rsidP="00EA398A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sz w:val="16"/>
                <w:szCs w:val="16"/>
              </w:rPr>
              <w:t>п</w:t>
            </w:r>
            <w:r w:rsidR="001464C8" w:rsidRPr="00EA398A">
              <w:rPr>
                <w:rFonts w:ascii="Verdana" w:hAnsi="Verdana" w:cs="Times New Roman"/>
                <w:b/>
                <w:sz w:val="16"/>
                <w:szCs w:val="16"/>
              </w:rPr>
              <w:t xml:space="preserve">одмярка </w:t>
            </w:r>
            <w:r w:rsidRPr="004D69B9">
              <w:rPr>
                <w:rFonts w:ascii="Verdana" w:hAnsi="Verdana" w:cs="Times New Roman"/>
                <w:b/>
                <w:sz w:val="16"/>
                <w:szCs w:val="16"/>
              </w:rPr>
              <w:t xml:space="preserve">16.1. </w:t>
            </w:r>
            <w:r>
              <w:rPr>
                <w:rFonts w:ascii="Verdana" w:hAnsi="Verdana" w:cs="Times New Roman"/>
                <w:b/>
                <w:sz w:val="16"/>
                <w:szCs w:val="16"/>
              </w:rPr>
              <w:t>„</w:t>
            </w:r>
            <w:r w:rsidRPr="004D69B9">
              <w:rPr>
                <w:rFonts w:ascii="Verdana" w:hAnsi="Verdana" w:cs="Times New Roman"/>
                <w:b/>
                <w:sz w:val="16"/>
                <w:szCs w:val="16"/>
              </w:rPr>
              <w:t>Подкрепа за сформиране и функциониране на оперативни групи в рамките на ЕПИ</w:t>
            </w:r>
            <w:r>
              <w:rPr>
                <w:rFonts w:ascii="Verdana" w:hAnsi="Verdana" w:cs="Times New Roman"/>
                <w:b/>
                <w:sz w:val="16"/>
                <w:szCs w:val="16"/>
              </w:rPr>
              <w:t>“</w:t>
            </w:r>
            <w:r w:rsidRPr="004D69B9">
              <w:rPr>
                <w:rFonts w:ascii="Verdana" w:hAnsi="Verdana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856" w:type="pct"/>
            <w:tcBorders>
              <w:bottom w:val="single" w:sz="4" w:space="0" w:color="auto"/>
            </w:tcBorders>
            <w:shd w:val="clear" w:color="auto" w:fill="D9D9D9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42" w:type="pct"/>
            <w:tcBorders>
              <w:bottom w:val="single" w:sz="4" w:space="0" w:color="auto"/>
            </w:tcBorders>
            <w:shd w:val="clear" w:color="auto" w:fill="D9D9D9"/>
          </w:tcPr>
          <w:p w:rsidR="001464C8" w:rsidRPr="00EA398A" w:rsidRDefault="001464C8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</w:tr>
      <w:tr w:rsidR="001464C8" w:rsidRPr="0047538D" w:rsidTr="00BD3F73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1464C8" w:rsidRPr="00EA398A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D69B9" w:rsidRDefault="004D69B9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Точка </w:t>
            </w:r>
            <w:r w:rsidRPr="004D69B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8.2.14.3.1.8.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„</w:t>
            </w:r>
            <w:r w:rsidRPr="004D69B9">
              <w:rPr>
                <w:rFonts w:ascii="Verdana" w:hAnsi="Verdana" w:cs="Times New Roman"/>
                <w:b/>
                <w:bCs/>
                <w:sz w:val="16"/>
                <w:szCs w:val="16"/>
              </w:rPr>
              <w:t>(Приложими) суми и проценти на предоставяната подкрепа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“</w:t>
            </w:r>
          </w:p>
          <w:p w:rsidR="008210F0" w:rsidRPr="00EA398A" w:rsidRDefault="008210F0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56" w:type="pct"/>
            <w:shd w:val="clear" w:color="auto" w:fill="auto"/>
          </w:tcPr>
          <w:p w:rsidR="001464C8" w:rsidRPr="004D69B9" w:rsidRDefault="004D69B9" w:rsidP="00EA398A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4D69B9">
              <w:rPr>
                <w:rFonts w:ascii="Verdana" w:hAnsi="Verdana" w:cs="Times New Roman"/>
                <w:bCs/>
                <w:sz w:val="16"/>
                <w:szCs w:val="16"/>
              </w:rPr>
              <w:t>Максималният размер на допустимите разходи за една оперативна група за един проект е 1 000 000 евро.</w:t>
            </w:r>
          </w:p>
        </w:tc>
        <w:tc>
          <w:tcPr>
            <w:tcW w:w="2342" w:type="pct"/>
            <w:shd w:val="clear" w:color="auto" w:fill="auto"/>
          </w:tcPr>
          <w:p w:rsidR="001464C8" w:rsidRPr="0047538D" w:rsidRDefault="004D69B9" w:rsidP="00EA398A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47538D">
              <w:rPr>
                <w:rFonts w:ascii="Verdana" w:hAnsi="Verdana" w:cs="Times New Roman"/>
                <w:bCs/>
                <w:sz w:val="16"/>
                <w:szCs w:val="16"/>
              </w:rPr>
              <w:t xml:space="preserve">Максималният размер на допустимите разходи за една оперативна група за един проект е </w:t>
            </w:r>
            <w:r w:rsidRPr="0047538D">
              <w:rPr>
                <w:rFonts w:ascii="Verdana" w:hAnsi="Verdana" w:cs="Times New Roman"/>
                <w:bCs/>
                <w:strike/>
                <w:sz w:val="16"/>
                <w:szCs w:val="16"/>
              </w:rPr>
              <w:t>1 000 000</w:t>
            </w:r>
            <w:r w:rsidRPr="0047538D">
              <w:rPr>
                <w:rFonts w:ascii="Verdana" w:hAnsi="Verdana" w:cs="Times New Roman"/>
                <w:bCs/>
                <w:sz w:val="16"/>
                <w:szCs w:val="16"/>
              </w:rPr>
              <w:t xml:space="preserve"> </w:t>
            </w:r>
            <w:r w:rsidR="007012A0" w:rsidRPr="0047538D">
              <w:rPr>
                <w:rFonts w:ascii="Verdana" w:hAnsi="Verdana" w:cs="Times New Roman"/>
                <w:bCs/>
                <w:sz w:val="16"/>
                <w:szCs w:val="16"/>
              </w:rPr>
              <w:t xml:space="preserve"> </w:t>
            </w:r>
            <w:r w:rsidR="007012A0" w:rsidRPr="0047538D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  <w:u w:val="single"/>
              </w:rPr>
              <w:t>450 000</w:t>
            </w:r>
            <w:r w:rsidR="007012A0" w:rsidRPr="0047538D"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  <w:t xml:space="preserve"> </w:t>
            </w:r>
            <w:r w:rsidRPr="0047538D">
              <w:rPr>
                <w:rFonts w:ascii="Verdana" w:hAnsi="Verdana" w:cs="Times New Roman"/>
                <w:bCs/>
                <w:sz w:val="16"/>
                <w:szCs w:val="16"/>
              </w:rPr>
              <w:t>евро.</w:t>
            </w:r>
          </w:p>
        </w:tc>
      </w:tr>
      <w:tr w:rsidR="0047538D" w:rsidRPr="0047538D" w:rsidTr="00BD3F73">
        <w:trPr>
          <w:trHeight w:val="223"/>
        </w:trPr>
        <w:tc>
          <w:tcPr>
            <w:tcW w:w="135" w:type="pct"/>
            <w:shd w:val="clear" w:color="auto" w:fill="auto"/>
            <w:vAlign w:val="center"/>
          </w:tcPr>
          <w:p w:rsidR="001464C8" w:rsidRPr="0047538D" w:rsidRDefault="004629AF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</w:pP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t>2</w:t>
            </w:r>
            <w:r w:rsidR="001464C8" w:rsidRPr="0047538D">
              <w:rPr>
                <w:rFonts w:ascii="Verdana" w:eastAsia="Times New Roman" w:hAnsi="Verdana" w:cs="Times New Roman"/>
                <w:sz w:val="16"/>
                <w:szCs w:val="16"/>
                <w:lang w:val="en-GB"/>
              </w:rPr>
              <w:t>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464C8" w:rsidRPr="0047538D" w:rsidRDefault="004629AF" w:rsidP="004629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47538D"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Точка </w:t>
            </w:r>
            <w:r w:rsidRPr="0047538D"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  <w:t xml:space="preserve">8.2.14.3.1.10. </w:t>
            </w:r>
            <w:r w:rsidRPr="0047538D">
              <w:rPr>
                <w:rFonts w:ascii="Verdana" w:eastAsia="Times New Roman" w:hAnsi="Verdana" w:cs="Times New Roman"/>
                <w:b/>
                <w:sz w:val="16"/>
                <w:szCs w:val="16"/>
              </w:rPr>
              <w:t>„</w:t>
            </w:r>
            <w:r w:rsidRPr="0047538D">
              <w:rPr>
                <w:rFonts w:ascii="Verdana" w:eastAsia="Times New Roman" w:hAnsi="Verdana" w:cs="Times New Roman"/>
                <w:b/>
                <w:sz w:val="16"/>
                <w:szCs w:val="16"/>
                <w:lang w:val="en-GB"/>
              </w:rPr>
              <w:t>Методология за изчисляване на размера или процента на подпомагане, когато е уместно</w:t>
            </w:r>
            <w:r w:rsidRPr="0047538D">
              <w:rPr>
                <w:rFonts w:ascii="Verdana" w:eastAsia="Times New Roman" w:hAnsi="Verdana" w:cs="Times New Roman"/>
                <w:b/>
                <w:sz w:val="16"/>
                <w:szCs w:val="16"/>
              </w:rPr>
              <w:t>“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47538D" w:rsidRPr="0047538D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t>Определянето на стойността на разходите за проучвания, разходите за стимулиране на интерес и за текущите разходи във връзка със сътрудничеството за всяка оперативна група ще се базира на стандартни разходи, съгласно чл. 67, параграф 1, буква б) от Регламент (ЕС) № 1303/2013. При определянето на стандартните изчисления за разходите ще се прилагат условията на чл. 67, параграф 5, буква а) от Регламент (ЕС) № 1303/2013.</w:t>
            </w:r>
          </w:p>
          <w:p w:rsidR="0047538D" w:rsidRPr="0047538D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t>Стандартните разходи по подмярка 16.1. са изчислени по методика, при която е  допуснато, че ще има три вида разходи, които произтичат от акта на сътрудничеството и организацията на изпълнението на иновативния проект на оперативните групи. Определянето на вида на опростените разходи за сформиране и функциониране на ОП на ЕПИ и методиката за извършване на изчисленията се базира на използването на методите на статистическия анализ и по-точно на технологията „Извличане на знания от данни“ (Data mining) като процес на откриване на смислени корелации, зависимости, повтарящи се образци и тенденции в големи масиви от данни. Този вид извличане на данни посредством предварително формулирани заявки към базите данни събрани от предишни периоди, генерира имплицитно формулиране на не очевидна, предварително известна и полезна информация за използване на допустими, одобрени, прозрачно и точно направени разходи в минали периода за оценка на бъдещите такива. Предложени са три вида разходи, произтичащи от акта на сътрудничество, групирани съгласно т.5 от Guidance document “Co-operation” measure (version:November 2014), а именно: разходи за проучвания; разходи за стимулиране на интерес и разширяване на състава на оперативната група; текущи разходи във връзка със сътрудничеството.</w:t>
            </w:r>
          </w:p>
          <w:p w:rsidR="0047538D" w:rsidRPr="0047538D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t xml:space="preserve">На базата на гореописания подход, бяха извлечени, статистически обработени и пресметнати средните стойности на релевантни единични дейности по отделни проекти, които са прилагани по подхода ЛИДЕР по Програмата за развитие на </w:t>
            </w: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lastRenderedPageBreak/>
              <w:t>селските райони през програмния период 2007 – 2013 г. и на тяхна база са предложени стандартни таблица за разходите за единица продукт.</w:t>
            </w:r>
          </w:p>
          <w:p w:rsidR="001464C8" w:rsidRPr="0047538D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t>Изчисленията на стандартните разходи са извършени от Съюз на икономистите в България, който е функционално независим орган от Министерство на земеделието, храните и горите и Държавен фонд „Земеделие“, съгласно чл.62 , пар.2 от регламент 1305/2013.</w:t>
            </w:r>
          </w:p>
        </w:tc>
        <w:tc>
          <w:tcPr>
            <w:tcW w:w="2342" w:type="pct"/>
            <w:shd w:val="clear" w:color="auto" w:fill="auto"/>
          </w:tcPr>
          <w:p w:rsidR="0047538D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7538D">
              <w:rPr>
                <w:rFonts w:ascii="Verdana" w:eastAsia="Times New Roman" w:hAnsi="Verdana" w:cs="Times New Roman"/>
                <w:sz w:val="16"/>
                <w:szCs w:val="16"/>
              </w:rPr>
              <w:lastRenderedPageBreak/>
              <w:t>Определянето на стойността на разходите за проучвания, разходите за стимулиране на интерес и за текущите разходи във връзка със сътрудничеството за всяка оперативна група ще се базира на стандартни разходи, съгласно чл. 67, параграф 1, буква б) от Регламент (ЕС) № 1303/2013. При определянето на стандартните изчисления за разходите ще се прилагат условията на чл. 67, параграф 5, буква а) от Регламент (ЕС) № 1303/2013.</w:t>
            </w:r>
          </w:p>
          <w:p w:rsidR="007371E8" w:rsidRPr="007371E8" w:rsidRDefault="007371E8" w:rsidP="007371E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За определяне на стандартните изчисления за разходите е използван метода на стандартните таблици на разходите за единица продукт. Определянето на стандартните таблици на единичните разходи се основава на пазарни проучвания на цените, които могат да бъдат проверени. </w:t>
            </w:r>
          </w:p>
          <w:p w:rsidR="007371E8" w:rsidRPr="007371E8" w:rsidRDefault="007371E8" w:rsidP="007371E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Подходът на изчисление е пазарен, т.е. използван е метод на сравнителните анализи. При този метод за оценка стойността се определя чрез пряко сравнение на пазарни цени на продукти или услуги със сходни характеристики, към определен момент. Метод</w:t>
            </w:r>
            <w:r w:rsidR="005C7E1E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ологията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, използвана за обработка и анализ на получената информация, както и извеждане и тестване на индикативни нива на опростени разходи, по определените видове допустими разходи е определена на база на изискванията, дефинирани от ЕК в „Указанията за опростените варианти за разходите“. </w:t>
            </w:r>
          </w:p>
          <w:p w:rsidR="007371E8" w:rsidRPr="007371E8" w:rsidRDefault="007371E8" w:rsidP="007371E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За разработването на конкретните стойности на ставките са приложени стандартни методи на статистически и финансов анализ, с широко приложение при икономически и други проучвания. Целта е да се използват общоприети и надеждни методи за анализ, за да се достигне до резултати и заключения, които:</w:t>
            </w:r>
          </w:p>
          <w:p w:rsidR="007371E8" w:rsidRPr="00A15F19" w:rsidRDefault="007371E8" w:rsidP="003E42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са проверими и възпроизведими (при нужда със същите, разширени или нови данни);</w:t>
            </w:r>
          </w:p>
          <w:p w:rsidR="007371E8" w:rsidRPr="00A15F19" w:rsidRDefault="007371E8" w:rsidP="003E42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са съобразени с практиката за разработване на опростени разходи и в други страни-членки за анализ и извеждане на опростени разходи (насоките за разработване на опростени разходи са предложни за използване от 23 страни членки на ЕС за периода 2014-2020 г.); </w:t>
            </w:r>
          </w:p>
          <w:p w:rsidR="007371E8" w:rsidRPr="00A15F19" w:rsidRDefault="007371E8" w:rsidP="003E42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имат добро покритие на наблюдения;</w:t>
            </w:r>
          </w:p>
          <w:p w:rsidR="007371E8" w:rsidRPr="00B4670D" w:rsidRDefault="007371E8" w:rsidP="007371E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са подкрепени и от пазарните условия в страната.</w:t>
            </w:r>
          </w:p>
          <w:p w:rsidR="007371E8" w:rsidRPr="00B4670D" w:rsidRDefault="007371E8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Изчисленията на стандартните разходи са извършени от еки</w:t>
            </w:r>
            <w:r w:rsidR="003E42A0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п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на Университета за национално и световно стопанство (УНСС), който е функционално независим орган от Министерство на земеделието</w:t>
            </w:r>
            <w:r w:rsidR="00D30AA4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,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храните </w:t>
            </w:r>
            <w:r w:rsidR="00D30AA4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lastRenderedPageBreak/>
              <w:t xml:space="preserve">и горите 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и Държавен фонд „Земеделие“, съгласно чл.</w:t>
            </w:r>
            <w:r w:rsidR="003E42A0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62, пар.</w:t>
            </w:r>
            <w:r w:rsidR="003E42A0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2 от Р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егламент 1305/2013.</w:t>
            </w:r>
          </w:p>
          <w:p w:rsidR="0047538D" w:rsidRPr="007371E8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7371E8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Стандартните разходи по подмярка 16.1. са изчислени по методика, при която е  допуснато, че ще има три вида разходи, които произтичат от акта на сътрудничеството и организацията на изпълнението на иновативния проект на оперативните групи. Определянето на вида на опростените разходи за сформиране и функциониране на ОП на ЕПИ и методиката за извършване на изчисленията се базира на използването на методите на статистическия анализ и по-точно на технологията „Извличане на знания от данни“ (Data mining) като процес на откриване на смислени корелации, зависимости, повтарящи се образци и тенденции в големи масиви от данни. Този вид извличане на данни посредством предварително формулирани заявки към базите данни събрани от предишни периоди, генерира имплицитно формулиране на не очевидна, предварително известна и полезна информация за използване на допустими, одобрени, прозрачно и точно направени разходи в минали периода за оценка на бъдещите такива. Предложени са три вида разходи, произтичащи от акта на сътрудничество, групирани съгласно т.5 от Guidance document “Co-operation” measure (version:November 2014), а именно: разходи за проучвания; разходи за стимулиране на интерес и разширяване на състава на оперативната група; текущи разходи във връзка със сътрудничеството.</w:t>
            </w:r>
          </w:p>
          <w:p w:rsidR="0047538D" w:rsidRPr="007371E8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7371E8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На базата на гореописания подход, бяха извлечени, статистически обработени и пресметнати средните стойности на релевантни единични дейности по отделни проекти, които са прилагани по подхода ЛИДЕР по Програмата за развитие на селските райони през програмния период 2007 – 2013 г. и на тяхна база са предложени стандартни таблица за разходите за единица продукт.</w:t>
            </w:r>
          </w:p>
          <w:p w:rsidR="00385A3E" w:rsidRPr="0047538D" w:rsidRDefault="0047538D" w:rsidP="0047538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7371E8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Изчисленията на стандартните разходи са извършени от Съюз на икономистите в България, който е функционално независим орган от Министерство на земеделието, храните и горите и Държавен фонд „Земеделие“, съгласно чл.62 , пар.2 от регламент 1305/2013.</w:t>
            </w:r>
          </w:p>
        </w:tc>
      </w:tr>
      <w:tr w:rsidR="003E42A0" w:rsidRPr="0047538D" w:rsidTr="00BD3F73">
        <w:trPr>
          <w:trHeight w:val="223"/>
        </w:trPr>
        <w:tc>
          <w:tcPr>
            <w:tcW w:w="135" w:type="pct"/>
            <w:shd w:val="clear" w:color="auto" w:fill="BFBFBF" w:themeFill="background1" w:themeFillShade="BF"/>
            <w:vAlign w:val="center"/>
          </w:tcPr>
          <w:p w:rsidR="003E42A0" w:rsidRPr="0047538D" w:rsidRDefault="003E42A0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667" w:type="pct"/>
            <w:shd w:val="clear" w:color="auto" w:fill="BFBFBF" w:themeFill="background1" w:themeFillShade="BF"/>
            <w:vAlign w:val="center"/>
          </w:tcPr>
          <w:p w:rsidR="003E42A0" w:rsidRPr="0047538D" w:rsidRDefault="003E42A0" w:rsidP="003E42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3E42A0">
              <w:rPr>
                <w:rFonts w:ascii="Verdana" w:eastAsia="Times New Roman" w:hAnsi="Verdana" w:cs="Times New Roman"/>
                <w:b/>
                <w:sz w:val="16"/>
                <w:szCs w:val="16"/>
              </w:rPr>
              <w:t>Мярка 16 „Съгрудничество“,</w:t>
            </w:r>
            <w:r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 п</w:t>
            </w:r>
            <w:r w:rsidRPr="003E42A0">
              <w:rPr>
                <w:rFonts w:ascii="Verdana" w:eastAsia="Times New Roman" w:hAnsi="Verdana" w:cs="Times New Roman"/>
                <w:b/>
                <w:sz w:val="16"/>
                <w:szCs w:val="16"/>
              </w:rPr>
              <w:t>одмярка 16.4. Подкрепа за хоризонтално и вертикално сътрудничество между участниците във веригата на доставки.</w:t>
            </w:r>
          </w:p>
        </w:tc>
        <w:tc>
          <w:tcPr>
            <w:tcW w:w="1856" w:type="pct"/>
            <w:shd w:val="clear" w:color="auto" w:fill="BFBFBF" w:themeFill="background1" w:themeFillShade="BF"/>
            <w:vAlign w:val="center"/>
          </w:tcPr>
          <w:p w:rsidR="003E42A0" w:rsidRPr="003E42A0" w:rsidRDefault="003E42A0" w:rsidP="003E42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3E42A0">
              <w:rPr>
                <w:rFonts w:ascii="Verdana" w:eastAsia="Times New Roman" w:hAnsi="Verdana" w:cs="Times New Roman"/>
                <w:b/>
                <w:sz w:val="16"/>
                <w:szCs w:val="16"/>
              </w:rPr>
              <w:t>Настоящ текст на подмярка 16 в ПРСР</w:t>
            </w:r>
          </w:p>
        </w:tc>
        <w:tc>
          <w:tcPr>
            <w:tcW w:w="2342" w:type="pct"/>
            <w:shd w:val="clear" w:color="auto" w:fill="BFBFBF" w:themeFill="background1" w:themeFillShade="BF"/>
            <w:vAlign w:val="center"/>
          </w:tcPr>
          <w:p w:rsidR="003E42A0" w:rsidRPr="003E42A0" w:rsidRDefault="003E42A0" w:rsidP="003E42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3E42A0">
              <w:rPr>
                <w:rFonts w:ascii="Verdana" w:eastAsia="Times New Roman" w:hAnsi="Verdana" w:cs="Times New Roman"/>
                <w:b/>
                <w:sz w:val="16"/>
                <w:szCs w:val="16"/>
              </w:rPr>
              <w:t>Предложение за нов текст в подмярка 16 от ПРСР</w:t>
            </w:r>
          </w:p>
        </w:tc>
      </w:tr>
      <w:tr w:rsidR="003E42A0" w:rsidRPr="0047538D" w:rsidTr="00BD3F73">
        <w:trPr>
          <w:trHeight w:val="223"/>
        </w:trPr>
        <w:tc>
          <w:tcPr>
            <w:tcW w:w="135" w:type="pct"/>
            <w:shd w:val="clear" w:color="auto" w:fill="FFFFFF" w:themeFill="background1"/>
            <w:vAlign w:val="center"/>
          </w:tcPr>
          <w:p w:rsidR="003E42A0" w:rsidRPr="0047538D" w:rsidRDefault="003E42A0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3</w:t>
            </w:r>
          </w:p>
        </w:tc>
        <w:tc>
          <w:tcPr>
            <w:tcW w:w="667" w:type="pct"/>
            <w:shd w:val="clear" w:color="auto" w:fill="FFFFFF" w:themeFill="background1"/>
            <w:vAlign w:val="center"/>
          </w:tcPr>
          <w:p w:rsidR="003E42A0" w:rsidRPr="003E42A0" w:rsidRDefault="006774C6" w:rsidP="003E42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</w:rPr>
              <w:t>Точка</w:t>
            </w:r>
            <w:r w:rsidR="00654A2D"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 </w:t>
            </w:r>
            <w:r w:rsidR="00654A2D" w:rsidRPr="00654A2D"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8.2.14.3.3.10. </w:t>
            </w:r>
            <w:r w:rsidR="00654A2D">
              <w:rPr>
                <w:rFonts w:ascii="Verdana" w:eastAsia="Times New Roman" w:hAnsi="Verdana" w:cs="Times New Roman"/>
                <w:b/>
                <w:sz w:val="16"/>
                <w:szCs w:val="16"/>
              </w:rPr>
              <w:t>„</w:t>
            </w:r>
            <w:r w:rsidR="00654A2D" w:rsidRPr="00654A2D">
              <w:rPr>
                <w:rFonts w:ascii="Verdana" w:eastAsia="Times New Roman" w:hAnsi="Verdana" w:cs="Times New Roman"/>
                <w:b/>
                <w:sz w:val="16"/>
                <w:szCs w:val="16"/>
              </w:rPr>
              <w:t>Методология за изчисляване на размера или процента на подпомагане, когато е уместно</w:t>
            </w:r>
            <w:r w:rsidR="00654A2D">
              <w:rPr>
                <w:rFonts w:ascii="Verdana" w:eastAsia="Times New Roman" w:hAnsi="Verdana" w:cs="Times New Roman"/>
                <w:b/>
                <w:sz w:val="16"/>
                <w:szCs w:val="16"/>
              </w:rPr>
              <w:t>“</w:t>
            </w:r>
          </w:p>
        </w:tc>
        <w:tc>
          <w:tcPr>
            <w:tcW w:w="1856" w:type="pct"/>
            <w:shd w:val="clear" w:color="auto" w:fill="FFFFFF" w:themeFill="background1"/>
            <w:vAlign w:val="center"/>
          </w:tcPr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z w:val="16"/>
                <w:szCs w:val="16"/>
              </w:rPr>
              <w:t>Определянето на стойността на разходите за проучвания, разходите за стимулиране на интерес и за текущите разходи във връзка със сътрудничеството за всяка оперативна група ще се базира на стандартни разходи, съгласно чл. 67, параграф 1, буква б) от Регламент (ЕС) № 1303/2013. При определянето на стандартните изчисления за разходите ще се прилагат условията на чл. 67, параграф 5, буква а) от Регламент (ЕС) № 1303/2013.</w:t>
            </w:r>
          </w:p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z w:val="16"/>
                <w:szCs w:val="16"/>
              </w:rPr>
              <w:t xml:space="preserve">Стандартните разходи по подмярка 16.4. са изчислени по методика, при която е  допуснато, че ще има три вида разходи, които произтичат от акта на сътрудничеството и организацията на изпълнението на колективен проект за сътрудничество на обединение за къса верига на доставки или обединение за местен пазар. Определянето на вида на опростените разходи и </w:t>
            </w:r>
            <w:r w:rsidRPr="00654A2D">
              <w:rPr>
                <w:rFonts w:ascii="Verdana" w:eastAsia="Times New Roman" w:hAnsi="Verdana" w:cs="Times New Roman"/>
                <w:sz w:val="16"/>
                <w:szCs w:val="16"/>
              </w:rPr>
              <w:lastRenderedPageBreak/>
              <w:t>методиката за извършване на изчисленията се базира на използването на методите на статистическия анализ и по-точно на технологията „Извличане на знания от данни“ (Data mining) като процес на откриване на смислени корелации, зависимости, повтарящи се образци и тенденции в големи масиви от данни. Този вид извличане на данни посредством предварително формулирани заявки към базите данни събрани от предишни периоди, генерира имплицитно формулиране на не очевидна, предварително известна и полезна информация за използване на допустими, одобрени, прозрачно и точно направени разходи в минали периода за оценка на бъдещите такива. Предложени са четири вида разходи, произтичащи от акта на сътрудничество, групирани съгласно т.5 от Guidance document “Co-operation” measure (version:November 2014), а именно: разходи за проучвания; разходи за стимулиране на интерес и разширяване на състава на новосъздадения клъстер; текущи разходи във връзка със сътрудничеството и разходи за популяризиране.</w:t>
            </w:r>
          </w:p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z w:val="16"/>
                <w:szCs w:val="16"/>
              </w:rPr>
              <w:t>На базата на гореописания подход, бяха извлечени, статистически обработени и пресметнати средните стойности на релевантни единични дейности по отделни проекти, които са прилагани по подхода ЛИДЕР по Програмата за развитие на селските райони през програмния период 2007 – 2013 г. и на тяхна база са предложени стандартни таблица за разходите за единица продукт.</w:t>
            </w:r>
          </w:p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z w:val="16"/>
                <w:szCs w:val="16"/>
              </w:rPr>
              <w:t>Изчисленията на стандартните разходи са извършени от Съюз на икономистите в България, който е функционално независим орган от Министерство на земеделието, храните и горите и Държавен фонд „Земеделие“, съгласно чл.62 , пар.2 от регламент 1305/2013.</w:t>
            </w:r>
          </w:p>
          <w:p w:rsidR="003E42A0" w:rsidRPr="003E42A0" w:rsidRDefault="003E42A0" w:rsidP="003E42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</w:p>
        </w:tc>
        <w:tc>
          <w:tcPr>
            <w:tcW w:w="2342" w:type="pct"/>
            <w:shd w:val="clear" w:color="auto" w:fill="FFFFFF" w:themeFill="background1"/>
            <w:vAlign w:val="center"/>
          </w:tcPr>
          <w:p w:rsid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z w:val="16"/>
                <w:szCs w:val="16"/>
              </w:rPr>
              <w:lastRenderedPageBreak/>
              <w:t>Определянето на стойността на разходите за проучвания, разходите за стимулиране на интерес и за текущите разходи във връзка със сътрудничеството за всяка оперативна група ще се базира на стандартни разходи, съгласно чл. 67, параграф 1, буква б) от Регламент (ЕС) № 1303/2013. При определянето на стандартните изчисления за разходите ще се прилагат условията на чл. 67, параграф 5, буква а) от Регламент (ЕС) № 1303/2013.</w:t>
            </w:r>
          </w:p>
          <w:p w:rsidR="00D30AA4" w:rsidRPr="007371E8" w:rsidRDefault="00D30AA4" w:rsidP="00D30AA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За определяне на стандартните изчисления за разходите е използван метода на стандартните таблици на разходите за единица продукт. Определянето на стандартните таблици на единичните разходи се основава на пазарни проучвания на цените, които могат да бъдат проверени. </w:t>
            </w:r>
          </w:p>
          <w:p w:rsidR="00D30AA4" w:rsidRPr="007371E8" w:rsidRDefault="00D30AA4" w:rsidP="00D30AA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Подходът на изчисление е пазарен, т.е. използван е метод на сравнителните анализи. При този метод за оценка стойността се определя чрез пряко сравнение на пазарни цени на продукти или услуги със сходни 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lastRenderedPageBreak/>
              <w:t xml:space="preserve">характеристики, към определен момент. Методологията, използвана за обработка и анализ на получената информация, както и извеждане и тестване на индикативни нива на опростени разходи, по определените видове допустими разходи е определена на база на изискванията, дефинирани от ЕК в „Указанията за опростените варианти за разходите“. </w:t>
            </w:r>
          </w:p>
          <w:p w:rsidR="00D30AA4" w:rsidRPr="007371E8" w:rsidRDefault="00D30AA4" w:rsidP="00D30AA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За разработването на конкретните стойности на ставките са приложени стандартни методи на статистически и финансов анализ, с широко приложение при икономически и други проучвания. Целта е да се използват общоприети и надеждни методи за анализ, за да се достигне до резултати и заключения, които:</w:t>
            </w:r>
          </w:p>
          <w:p w:rsidR="00D30AA4" w:rsidRPr="00A15F19" w:rsidRDefault="00D30AA4" w:rsidP="00D30AA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са проверими и възпроизведими (при нужда със същите, разширени или нови данни);</w:t>
            </w:r>
          </w:p>
          <w:p w:rsidR="00D30AA4" w:rsidRPr="00A15F19" w:rsidRDefault="00D30AA4" w:rsidP="00D30AA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са съобразени с практиката за разработване на опростени разходи и в други страни-членки за анализ и извеждане на опростени разходи (насоките за разработване на опростени разходи са предложни за използване от 23 страни членки на ЕС за периода 2014-2020 г.); </w:t>
            </w:r>
          </w:p>
          <w:p w:rsidR="00D30AA4" w:rsidRPr="00A15F19" w:rsidRDefault="00D30AA4" w:rsidP="00D30AA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имат добро покритие на наблюдения;</w:t>
            </w:r>
          </w:p>
          <w:p w:rsidR="00D30AA4" w:rsidRPr="00A15F19" w:rsidRDefault="00D30AA4" w:rsidP="00D30AA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A15F19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са подкрепени и от пазарните условия в страната.</w:t>
            </w:r>
          </w:p>
          <w:p w:rsidR="00D30AA4" w:rsidRPr="007371E8" w:rsidRDefault="00D30AA4" w:rsidP="00D30AA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</w:pP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Изчисленията на стандартните разходи са извършени от еки</w:t>
            </w:r>
            <w:r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п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на Университета за национално и световно стопанство (УНСС), който е функционално независим орган от Министерство на земеделието</w:t>
            </w:r>
            <w:r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,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храните</w:t>
            </w:r>
            <w:r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и горите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и Държавен фонд „Земеделие“, съгласно чл.</w:t>
            </w:r>
            <w:r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62, пар.</w:t>
            </w:r>
            <w:r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 xml:space="preserve"> 2 от Р</w:t>
            </w:r>
            <w:r w:rsidRPr="007371E8">
              <w:rPr>
                <w:rFonts w:ascii="Verdana" w:eastAsia="Times New Roman" w:hAnsi="Verdana" w:cs="Times New Roman"/>
                <w:b/>
                <w:color w:val="FF0000"/>
                <w:sz w:val="16"/>
                <w:szCs w:val="16"/>
                <w:u w:val="single"/>
              </w:rPr>
              <w:t>егламент 1305/2013.</w:t>
            </w:r>
          </w:p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Стандартните разходи по подмярка 16.4. са изчислени по методика, при която е  допуснато, че ще има три вида разходи, които произтичат от акта на сътрудничеството и организацията на изпълнението на колективен проект за сътрудничество на обединение за къса верига на доставки или обединение за местен пазар. Определянето на вида на опростените разходи и методиката за извършване на изчисленията се базира на използването на методите на статистическия анализ и по-точно на технологията „Извличане на знания от данни“ (Data mining) като процес на откриване на смислени корелации, зависимости, повтарящи се образци и тенденции в големи масиви от данни. Този вид извличане на данни посредством предварително формулирани заявки към базите данни събрани от предишни периоди, генерира имплицитно формулиране на не очевидна, предварително известна и полезна информация за използване на допустими, одобрени, прозрачно и точно направени разходи в минали периода за оценка на бъдещите такива. Предложени са четири вида разходи, произтичащи от акта на сътрудничество, групирани съгласно т.5 от Guidance document “Co-operation” measure (version:November 2014), а именно: разходи за проучвания; разходи за стимулиране на интерес и разширяване на състава на новосъздадения клъстер; текущи разходи във връзка със сътрудничеството и разходи за популяризиране.</w:t>
            </w:r>
          </w:p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На базата на гореописания подход, бяха извлечени, статистически обработени и пресметнати средните стойности на релевантни единични дейности по отделни проекти, които са прилагани по подхода ЛИДЕР по Програмата за развитие на селските райони през програмния период 2007 – 2013 г. и на тяхна база са предложени стандартни таблица за разходите за единица продукт.</w:t>
            </w:r>
          </w:p>
          <w:p w:rsidR="00654A2D" w:rsidRPr="00654A2D" w:rsidRDefault="00654A2D" w:rsidP="00654A2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trike/>
                <w:sz w:val="16"/>
                <w:szCs w:val="16"/>
              </w:rPr>
            </w:pPr>
            <w:r w:rsidRPr="00654A2D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Изчисленията на стандартните разходи са извършени от Съюз на икономистите в България, който е функционално независим орган от Министерство на земеделието, храните и горите и Държавен фонд „Земеделие“, съгласно чл.62 , пар.2 от регламент 1305/2013.</w:t>
            </w:r>
          </w:p>
          <w:p w:rsidR="003E42A0" w:rsidRPr="003E42A0" w:rsidRDefault="003E42A0" w:rsidP="003E42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</w:p>
        </w:tc>
      </w:tr>
    </w:tbl>
    <w:p w:rsidR="000122FA" w:rsidRPr="0047538D" w:rsidRDefault="000122FA" w:rsidP="0066335D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0122FA" w:rsidRPr="0047538D" w:rsidSect="00E569DB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7E4" w:rsidRDefault="005A57E4" w:rsidP="0039528E">
      <w:pPr>
        <w:spacing w:after="0" w:line="240" w:lineRule="auto"/>
      </w:pPr>
      <w:r>
        <w:separator/>
      </w:r>
    </w:p>
  </w:endnote>
  <w:endnote w:type="continuationSeparator" w:id="0">
    <w:p w:rsidR="005A57E4" w:rsidRDefault="005A57E4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34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D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7E4" w:rsidRDefault="005A57E4" w:rsidP="0039528E">
      <w:pPr>
        <w:spacing w:after="0" w:line="240" w:lineRule="auto"/>
      </w:pPr>
      <w:r>
        <w:separator/>
      </w:r>
    </w:p>
  </w:footnote>
  <w:footnote w:type="continuationSeparator" w:id="0">
    <w:p w:rsidR="005A57E4" w:rsidRDefault="005A57E4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DEE"/>
    <w:multiLevelType w:val="hybridMultilevel"/>
    <w:tmpl w:val="B1AA3318"/>
    <w:lvl w:ilvl="0" w:tplc="56AA0D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0958CB"/>
    <w:multiLevelType w:val="hybridMultilevel"/>
    <w:tmpl w:val="3B0E08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292FAD"/>
    <w:multiLevelType w:val="hybridMultilevel"/>
    <w:tmpl w:val="C9DC80AC"/>
    <w:lvl w:ilvl="0" w:tplc="97F4E51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FE7EB3"/>
    <w:multiLevelType w:val="hybridMultilevel"/>
    <w:tmpl w:val="B9962760"/>
    <w:lvl w:ilvl="0" w:tplc="42DC71F2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36603"/>
    <w:multiLevelType w:val="multilevel"/>
    <w:tmpl w:val="A09AD310"/>
    <w:numStyleLink w:val="Headings"/>
  </w:abstractNum>
  <w:abstractNum w:abstractNumId="11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C254BE"/>
    <w:multiLevelType w:val="hybridMultilevel"/>
    <w:tmpl w:val="A172F9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75557DEC"/>
    <w:multiLevelType w:val="hybridMultilevel"/>
    <w:tmpl w:val="5C3CFB08"/>
    <w:lvl w:ilvl="0" w:tplc="EF92562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4"/>
  </w:num>
  <w:num w:numId="5">
    <w:abstractNumId w:val="2"/>
  </w:num>
  <w:num w:numId="6">
    <w:abstractNumId w:val="17"/>
  </w:num>
  <w:num w:numId="7">
    <w:abstractNumId w:val="5"/>
  </w:num>
  <w:num w:numId="8">
    <w:abstractNumId w:val="3"/>
  </w:num>
  <w:num w:numId="9">
    <w:abstractNumId w:val="1"/>
  </w:num>
  <w:num w:numId="10">
    <w:abstractNumId w:val="12"/>
  </w:num>
  <w:num w:numId="11">
    <w:abstractNumId w:val="13"/>
  </w:num>
  <w:num w:numId="12">
    <w:abstractNumId w:val="10"/>
  </w:num>
  <w:num w:numId="13">
    <w:abstractNumId w:val="11"/>
  </w:num>
  <w:num w:numId="14">
    <w:abstractNumId w:val="18"/>
  </w:num>
  <w:num w:numId="15">
    <w:abstractNumId w:val="19"/>
  </w:num>
  <w:num w:numId="16">
    <w:abstractNumId w:val="8"/>
  </w:num>
  <w:num w:numId="17">
    <w:abstractNumId w:val="9"/>
  </w:num>
  <w:num w:numId="18">
    <w:abstractNumId w:val="16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21972"/>
    <w:rsid w:val="00036592"/>
    <w:rsid w:val="00044429"/>
    <w:rsid w:val="00060D89"/>
    <w:rsid w:val="00061E68"/>
    <w:rsid w:val="00063202"/>
    <w:rsid w:val="00070D87"/>
    <w:rsid w:val="000711F8"/>
    <w:rsid w:val="0009360E"/>
    <w:rsid w:val="000F3B34"/>
    <w:rsid w:val="00117524"/>
    <w:rsid w:val="001464C8"/>
    <w:rsid w:val="0015310C"/>
    <w:rsid w:val="00173D23"/>
    <w:rsid w:val="001B2B0B"/>
    <w:rsid w:val="001E2C3D"/>
    <w:rsid w:val="001E47ED"/>
    <w:rsid w:val="0021024C"/>
    <w:rsid w:val="0021565A"/>
    <w:rsid w:val="00232F4B"/>
    <w:rsid w:val="002460F2"/>
    <w:rsid w:val="00266328"/>
    <w:rsid w:val="00280287"/>
    <w:rsid w:val="002B015A"/>
    <w:rsid w:val="002C535D"/>
    <w:rsid w:val="002E48CC"/>
    <w:rsid w:val="002F1106"/>
    <w:rsid w:val="002F5A0C"/>
    <w:rsid w:val="00310593"/>
    <w:rsid w:val="00313A15"/>
    <w:rsid w:val="003166E8"/>
    <w:rsid w:val="00330392"/>
    <w:rsid w:val="003336D4"/>
    <w:rsid w:val="0036795E"/>
    <w:rsid w:val="00385A3E"/>
    <w:rsid w:val="0039528E"/>
    <w:rsid w:val="003B08E8"/>
    <w:rsid w:val="003E081A"/>
    <w:rsid w:val="003E42A0"/>
    <w:rsid w:val="003F0886"/>
    <w:rsid w:val="004072C0"/>
    <w:rsid w:val="004152E9"/>
    <w:rsid w:val="00416AED"/>
    <w:rsid w:val="004352A2"/>
    <w:rsid w:val="004524AA"/>
    <w:rsid w:val="004629AF"/>
    <w:rsid w:val="0047538D"/>
    <w:rsid w:val="00475F00"/>
    <w:rsid w:val="004B06DD"/>
    <w:rsid w:val="004D69B9"/>
    <w:rsid w:val="004D6C6F"/>
    <w:rsid w:val="00541D4C"/>
    <w:rsid w:val="00560F36"/>
    <w:rsid w:val="00561E0F"/>
    <w:rsid w:val="00562325"/>
    <w:rsid w:val="005A3F03"/>
    <w:rsid w:val="005A57E4"/>
    <w:rsid w:val="005C7E1E"/>
    <w:rsid w:val="005E7479"/>
    <w:rsid w:val="00627292"/>
    <w:rsid w:val="0063062D"/>
    <w:rsid w:val="00654A2D"/>
    <w:rsid w:val="00655BCB"/>
    <w:rsid w:val="0066335D"/>
    <w:rsid w:val="00666E06"/>
    <w:rsid w:val="006774C6"/>
    <w:rsid w:val="0068346D"/>
    <w:rsid w:val="00685AB3"/>
    <w:rsid w:val="006C2CC4"/>
    <w:rsid w:val="00700A06"/>
    <w:rsid w:val="007012A0"/>
    <w:rsid w:val="00706595"/>
    <w:rsid w:val="00714D83"/>
    <w:rsid w:val="00716F43"/>
    <w:rsid w:val="00722FAC"/>
    <w:rsid w:val="007371E8"/>
    <w:rsid w:val="00745977"/>
    <w:rsid w:val="00754DE6"/>
    <w:rsid w:val="00766717"/>
    <w:rsid w:val="007813C7"/>
    <w:rsid w:val="0078287A"/>
    <w:rsid w:val="00794EFF"/>
    <w:rsid w:val="007C0BE3"/>
    <w:rsid w:val="007F4CB0"/>
    <w:rsid w:val="008042E0"/>
    <w:rsid w:val="00815796"/>
    <w:rsid w:val="008210F0"/>
    <w:rsid w:val="0084626A"/>
    <w:rsid w:val="00875488"/>
    <w:rsid w:val="008A3DF4"/>
    <w:rsid w:val="008C74E1"/>
    <w:rsid w:val="008E611B"/>
    <w:rsid w:val="00904550"/>
    <w:rsid w:val="00982E05"/>
    <w:rsid w:val="009834BD"/>
    <w:rsid w:val="009B7211"/>
    <w:rsid w:val="009C7F38"/>
    <w:rsid w:val="009D6EF7"/>
    <w:rsid w:val="009F0F8C"/>
    <w:rsid w:val="009F5D1C"/>
    <w:rsid w:val="00A15DCD"/>
    <w:rsid w:val="00A15F19"/>
    <w:rsid w:val="00A212F8"/>
    <w:rsid w:val="00A546C4"/>
    <w:rsid w:val="00A81476"/>
    <w:rsid w:val="00AD014F"/>
    <w:rsid w:val="00AF50B3"/>
    <w:rsid w:val="00B01AE9"/>
    <w:rsid w:val="00B063C3"/>
    <w:rsid w:val="00B15518"/>
    <w:rsid w:val="00B212A5"/>
    <w:rsid w:val="00B318D7"/>
    <w:rsid w:val="00B32F4D"/>
    <w:rsid w:val="00B4444C"/>
    <w:rsid w:val="00B4670D"/>
    <w:rsid w:val="00B65D08"/>
    <w:rsid w:val="00B669EE"/>
    <w:rsid w:val="00B77B6E"/>
    <w:rsid w:val="00BB0FE0"/>
    <w:rsid w:val="00BB10AE"/>
    <w:rsid w:val="00BC3B9D"/>
    <w:rsid w:val="00BD3F73"/>
    <w:rsid w:val="00BF5889"/>
    <w:rsid w:val="00C23E3F"/>
    <w:rsid w:val="00C50826"/>
    <w:rsid w:val="00C61047"/>
    <w:rsid w:val="00C67ABC"/>
    <w:rsid w:val="00C95F78"/>
    <w:rsid w:val="00CC361C"/>
    <w:rsid w:val="00CE3DB8"/>
    <w:rsid w:val="00CE714D"/>
    <w:rsid w:val="00CF26DB"/>
    <w:rsid w:val="00D214C2"/>
    <w:rsid w:val="00D30AA4"/>
    <w:rsid w:val="00D36B33"/>
    <w:rsid w:val="00D3789A"/>
    <w:rsid w:val="00D57F6C"/>
    <w:rsid w:val="00D631BE"/>
    <w:rsid w:val="00D634CE"/>
    <w:rsid w:val="00DA1AAD"/>
    <w:rsid w:val="00DA40F5"/>
    <w:rsid w:val="00DA5B13"/>
    <w:rsid w:val="00DC0AF1"/>
    <w:rsid w:val="00DD7513"/>
    <w:rsid w:val="00DD7EB0"/>
    <w:rsid w:val="00DF3258"/>
    <w:rsid w:val="00E00519"/>
    <w:rsid w:val="00E02E16"/>
    <w:rsid w:val="00E54411"/>
    <w:rsid w:val="00E569DB"/>
    <w:rsid w:val="00E7248A"/>
    <w:rsid w:val="00E85FDE"/>
    <w:rsid w:val="00E868AC"/>
    <w:rsid w:val="00E90E12"/>
    <w:rsid w:val="00E9495B"/>
    <w:rsid w:val="00EA148A"/>
    <w:rsid w:val="00EA398A"/>
    <w:rsid w:val="00EC24D3"/>
    <w:rsid w:val="00ED0477"/>
    <w:rsid w:val="00ED4586"/>
    <w:rsid w:val="00EE601E"/>
    <w:rsid w:val="00F16665"/>
    <w:rsid w:val="00F44947"/>
    <w:rsid w:val="00F52022"/>
    <w:rsid w:val="00F547D0"/>
    <w:rsid w:val="00F633A5"/>
    <w:rsid w:val="00F74F92"/>
    <w:rsid w:val="00FB596B"/>
    <w:rsid w:val="00FE1120"/>
    <w:rsid w:val="00FE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77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77B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enrd.ec.europa.eu/sites/enrd/files/rdp_analysis_m16-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nrd.ec.europa.eu/sites/enrd/files/nrn4_m16-cooperation_karjalaine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3053E-CABE-402E-8FF5-E5AF0ADD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2749</Words>
  <Characters>15674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4</cp:revision>
  <cp:lastPrinted>2018-11-27T13:14:00Z</cp:lastPrinted>
  <dcterms:created xsi:type="dcterms:W3CDTF">2018-11-26T19:22:00Z</dcterms:created>
  <dcterms:modified xsi:type="dcterms:W3CDTF">2018-11-27T13:14:00Z</dcterms:modified>
</cp:coreProperties>
</file>